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«Корпоративные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ведение базы данных и поддержку информационного обеспечения решения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 знать инструменты и методы проектирования,  верификации структур баз данных, возможности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ИПК-10.2 знать предметную область автоматизации, теорию баз данных,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ИПК-10.4 уметь применять основы современных систем управления базами данных, применять основы программирования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ИПК-10.6 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организациях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ИПК-10.9 владеть инструментами и методами определения финансовых и производственных показателей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ИПК-10.10 владеть языками современных бизнес-приложений, основами Международных стандартов финансовой отчетности (МСФО)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ИПК-4.9 владеть методами анализа современных подходов и стандартов автоматизации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ИПК-4.10 владеть инструментами и методами определения финансовых и производственных показателей деятельности организаций, навыками работы с основами управления взаимоотношениями с клиентами и заказчиками (CRM)</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«Корпоративные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пракимка (преддипломная пракика)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ПК-10, ПК-4</w:t>
            </w:r>
          </w:p>
        </w:tc>
      </w:tr>
      <w:tr>
        <w:trPr>
          <w:trHeight w:hRule="exact" w:val="138.9152"/>
        </w:trPr>
        <w:tc>
          <w:tcPr>
            <w:tcW w:w="3970" w:type="dxa"/>
          </w:tcPr>
          <w:p/>
        </w:tc>
        <w:tc>
          <w:tcPr>
            <w:tcW w:w="4679" w:type="dxa"/>
          </w:tcPr>
          <w:p/>
        </w:tc>
        <w:tc>
          <w:tcPr>
            <w:tcW w:w="993" w:type="dxa"/>
          </w:tcPr>
          <w:p/>
        </w:tc>
      </w:tr>
      <w:tr>
        <w:trPr>
          <w:trHeight w:hRule="exact" w:val="623.13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4.1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предприятия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архитектурного подхода, методология TOGAF.</w:t>
            </w:r>
          </w:p>
          <w:p>
            <w:pPr>
              <w:jc w:val="both"/>
              <w:spacing w:after="0" w:line="240" w:lineRule="auto"/>
              <w:rPr>
                <w:sz w:val="24"/>
                <w:szCs w:val="24"/>
              </w:rPr>
            </w:pPr>
            <w:r>
              <w:rPr>
                <w:rFonts w:ascii="Times New Roman" w:hAnsi="Times New Roman" w:cs="Times New Roman"/>
                <w:color w:val="#000000"/>
                <w:sz w:val="24"/>
                <w:szCs w:val="24"/>
              </w:rPr>
              <w:t> Функциональное и процессное управление.</w:t>
            </w:r>
          </w:p>
          <w:p>
            <w:pPr>
              <w:jc w:val="both"/>
              <w:spacing w:after="0" w:line="240" w:lineRule="auto"/>
              <w:rPr>
                <w:sz w:val="24"/>
                <w:szCs w:val="24"/>
              </w:rPr>
            </w:pPr>
            <w:r>
              <w:rPr>
                <w:rFonts w:ascii="Times New Roman" w:hAnsi="Times New Roman" w:cs="Times New Roman"/>
                <w:color w:val="#000000"/>
                <w:sz w:val="24"/>
                <w:szCs w:val="24"/>
              </w:rPr>
              <w:t> Система менеджмента качества (СМК).</w:t>
            </w:r>
          </w:p>
          <w:p>
            <w:pPr>
              <w:jc w:val="both"/>
              <w:spacing w:after="0" w:line="240" w:lineRule="auto"/>
              <w:rPr>
                <w:sz w:val="24"/>
                <w:szCs w:val="24"/>
              </w:rPr>
            </w:pPr>
            <w:r>
              <w:rPr>
                <w:rFonts w:ascii="Times New Roman" w:hAnsi="Times New Roman" w:cs="Times New Roman"/>
                <w:color w:val="#000000"/>
                <w:sz w:val="24"/>
                <w:szCs w:val="24"/>
              </w:rPr>
              <w:t> Модель бизнес-процессов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Определение бизнес-контекста КИС.</w:t>
            </w:r>
          </w:p>
          <w:p>
            <w:pPr>
              <w:jc w:val="both"/>
              <w:spacing w:after="0" w:line="240" w:lineRule="auto"/>
              <w:rPr>
                <w:sz w:val="24"/>
                <w:szCs w:val="24"/>
              </w:rPr>
            </w:pPr>
            <w:r>
              <w:rPr>
                <w:rFonts w:ascii="Times New Roman" w:hAnsi="Times New Roman" w:cs="Times New Roman"/>
                <w:color w:val="#000000"/>
                <w:sz w:val="24"/>
                <w:szCs w:val="24"/>
              </w:rPr>
              <w:t> Производственная компания как объект информационной системы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 функциональная декомпозиция 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p>
            <w:pPr>
              <w:jc w:val="both"/>
              <w:spacing w:after="0" w:line="240" w:lineRule="auto"/>
              <w:rPr>
                <w:sz w:val="24"/>
                <w:szCs w:val="24"/>
              </w:rPr>
            </w:pPr>
            <w:r>
              <w:rPr>
                <w:rFonts w:ascii="Times New Roman" w:hAnsi="Times New Roman" w:cs="Times New Roman"/>
                <w:color w:val="#000000"/>
                <w:sz w:val="24"/>
                <w:szCs w:val="24"/>
              </w:rPr>
              <w:t> Планирование итераций.</w:t>
            </w:r>
          </w:p>
          <w:p>
            <w:pPr>
              <w:jc w:val="both"/>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p>
            <w:pPr>
              <w:jc w:val="both"/>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p>
            <w:pPr>
              <w:jc w:val="both"/>
              <w:spacing w:after="0" w:line="240" w:lineRule="auto"/>
              <w:rPr>
                <w:sz w:val="24"/>
                <w:szCs w:val="24"/>
              </w:rPr>
            </w:pPr>
            <w:r>
              <w:rPr>
                <w:rFonts w:ascii="Times New Roman" w:hAnsi="Times New Roman" w:cs="Times New Roman"/>
                <w:color w:val="#000000"/>
                <w:sz w:val="24"/>
                <w:szCs w:val="24"/>
              </w:rPr>
              <w:t>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корпоративного типа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вычислительные ресурсы и платформы.</w:t>
            </w:r>
          </w:p>
          <w:p>
            <w:pPr>
              <w:jc w:val="both"/>
              <w:spacing w:after="0" w:line="240" w:lineRule="auto"/>
              <w:rPr>
                <w:sz w:val="24"/>
                <w:szCs w:val="24"/>
              </w:rPr>
            </w:pPr>
            <w:r>
              <w:rPr>
                <w:rFonts w:ascii="Times New Roman" w:hAnsi="Times New Roman" w:cs="Times New Roman"/>
                <w:color w:val="#000000"/>
                <w:sz w:val="24"/>
                <w:szCs w:val="24"/>
              </w:rPr>
              <w:t> Центры обработки данных (ЦОД).</w:t>
            </w:r>
          </w:p>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 ресурсы (базы данных, хранилища данных)</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функциональности и классов приложения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проекта моделирования программного приложения</w:t>
            </w:r>
          </w:p>
          <w:p>
            <w:pPr>
              <w:jc w:val="both"/>
              <w:spacing w:after="0" w:line="240" w:lineRule="auto"/>
              <w:rPr>
                <w:sz w:val="24"/>
                <w:szCs w:val="24"/>
              </w:rPr>
            </w:pPr>
            <w:r>
              <w:rPr>
                <w:rFonts w:ascii="Times New Roman" w:hAnsi="Times New Roman" w:cs="Times New Roman"/>
                <w:color w:val="#000000"/>
                <w:sz w:val="24"/>
                <w:szCs w:val="24"/>
              </w:rPr>
              <w:t> 2.	Схема классов UML</w:t>
            </w:r>
          </w:p>
          <w:p>
            <w:pPr>
              <w:jc w:val="both"/>
              <w:spacing w:after="0" w:line="240" w:lineRule="auto"/>
              <w:rPr>
                <w:sz w:val="24"/>
                <w:szCs w:val="24"/>
              </w:rPr>
            </w:pPr>
            <w:r>
              <w:rPr>
                <w:rFonts w:ascii="Times New Roman" w:hAnsi="Times New Roman" w:cs="Times New Roman"/>
                <w:color w:val="#000000"/>
                <w:sz w:val="24"/>
                <w:szCs w:val="24"/>
              </w:rPr>
              <w:t> 3.	Схема последовательностей UML</w:t>
            </w:r>
          </w:p>
          <w:p>
            <w:pPr>
              <w:jc w:val="both"/>
              <w:spacing w:after="0" w:line="240" w:lineRule="auto"/>
              <w:rPr>
                <w:sz w:val="24"/>
                <w:szCs w:val="24"/>
              </w:rPr>
            </w:pPr>
            <w:r>
              <w:rPr>
                <w:rFonts w:ascii="Times New Roman" w:hAnsi="Times New Roman" w:cs="Times New Roman"/>
                <w:color w:val="#000000"/>
                <w:sz w:val="24"/>
                <w:szCs w:val="24"/>
              </w:rPr>
              <w:t> 4.	Схема вариантов использования UML</w:t>
            </w:r>
          </w:p>
          <w:p>
            <w:pPr>
              <w:jc w:val="both"/>
              <w:spacing w:after="0" w:line="240" w:lineRule="auto"/>
              <w:rPr>
                <w:sz w:val="24"/>
                <w:szCs w:val="24"/>
              </w:rPr>
            </w:pPr>
            <w:r>
              <w:rPr>
                <w:rFonts w:ascii="Times New Roman" w:hAnsi="Times New Roman" w:cs="Times New Roman"/>
                <w:color w:val="#000000"/>
                <w:sz w:val="24"/>
                <w:szCs w:val="24"/>
              </w:rPr>
              <w:t> 5.	Схема активности UML</w:t>
            </w:r>
          </w:p>
          <w:p>
            <w:pPr>
              <w:jc w:val="both"/>
              <w:spacing w:after="0" w:line="240" w:lineRule="auto"/>
              <w:rPr>
                <w:sz w:val="24"/>
                <w:szCs w:val="24"/>
              </w:rPr>
            </w:pPr>
            <w:r>
              <w:rPr>
                <w:rFonts w:ascii="Times New Roman" w:hAnsi="Times New Roman" w:cs="Times New Roman"/>
                <w:color w:val="#000000"/>
                <w:sz w:val="24"/>
                <w:szCs w:val="24"/>
              </w:rPr>
              <w:t> 6.	Схема компонентов UML</w:t>
            </w:r>
          </w:p>
          <w:p>
            <w:pPr>
              <w:jc w:val="both"/>
              <w:spacing w:after="0" w:line="240" w:lineRule="auto"/>
              <w:rPr>
                <w:sz w:val="24"/>
                <w:szCs w:val="24"/>
              </w:rPr>
            </w:pPr>
            <w:r>
              <w:rPr>
                <w:rFonts w:ascii="Times New Roman" w:hAnsi="Times New Roman" w:cs="Times New Roman"/>
                <w:color w:val="#000000"/>
                <w:sz w:val="24"/>
                <w:szCs w:val="24"/>
              </w:rPr>
              <w:t> 7.	Схема слоев.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интерфейса пользователя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Раскадровка</w:t>
            </w:r>
          </w:p>
          <w:p>
            <w:pPr>
              <w:jc w:val="both"/>
              <w:spacing w:after="0" w:line="240" w:lineRule="auto"/>
              <w:rPr>
                <w:sz w:val="24"/>
                <w:szCs w:val="24"/>
              </w:rPr>
            </w:pPr>
            <w:r>
              <w:rPr>
                <w:rFonts w:ascii="Times New Roman" w:hAnsi="Times New Roman" w:cs="Times New Roman"/>
                <w:color w:val="#000000"/>
                <w:sz w:val="24"/>
                <w:szCs w:val="24"/>
              </w:rPr>
              <w:t> 2.	Презентация интерфейса</w:t>
            </w:r>
          </w:p>
          <w:p>
            <w:pPr>
              <w:jc w:val="both"/>
              <w:spacing w:after="0" w:line="240" w:lineRule="auto"/>
              <w:rPr>
                <w:sz w:val="24"/>
                <w:szCs w:val="24"/>
              </w:rPr>
            </w:pPr>
            <w:r>
              <w:rPr>
                <w:rFonts w:ascii="Times New Roman" w:hAnsi="Times New Roman" w:cs="Times New Roman"/>
                <w:color w:val="#000000"/>
                <w:sz w:val="24"/>
                <w:szCs w:val="24"/>
              </w:rPr>
              <w:t> 3.	Связываение раскадровки с рабочим элементом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Функциональная декомпозиция КИС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2.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внедрения КИС в различных методологиях  (деловая игра)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Microsoft: «MSF». Группа В пытается построить проект внедрения ИС на основе методологии компании SAP: «Процедурная модель SAP».</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https://urait.ru/bcode/425572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Рыбников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https://urait.ru/bcode/399052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http://www.iprbookshop.ru/79723.html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2023-2024_ФГОС3++2023_Бак-ЗФО-ПИ(23)_plx_Корпоративные информационные системы</dc:title>
  <dc:creator>FastReport.NET</dc:creator>
</cp:coreProperties>
</file>